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529</w:t>
      </w:r>
    </w:p>
    <w:p>
      <w:r>
        <w:t>Bundesgericht (BGE), 2014-05-09, DE</w:t>
      </w:r>
    </w:p>
    <w:p>
      <w:r>
        <w:rPr>
          <w:b/>
        </w:rPr>
        <w:t xml:space="preserve">Quelle: </w:t>
      </w:r>
      <w:r>
        <w:t>https://mcp.opencaselaw.ch/entscheid/bge_140 III 529</w:t>
      </w:r>
    </w:p>
    <w:p>
      <w:r>
        <w:t>FR: ATF 140 III 529</w:t>
      </w:r>
    </w:p>
    <w:p>
      <w:r>
        <w:t>IT: DTF 140 III 529</w:t>
      </w:r>
    </w:p>
    <w:p>
      <w:pPr>
        <w:pStyle w:val="Heading2"/>
      </w:pPr>
      <w:r>
        <w:t>Regeste</w:t>
      </w:r>
    </w:p>
    <w:p>
      <w:r>
        <w:t>Regeste Art. 445 i.V.m. Art. 314 Abs. 1 ZGB; vorsorgliche Massnahmen im Kindesschutzverfahren. Das Verfahren auf Erlass vorsorglicher Massnahmen ist durch einen förmlichen Entscheid der Kindesschutzbehörde abzuschliessen. Für den Fall, dass die Kindesschutzbehörde vorweg eine vorsorgliche Massnahme sofort und ohne Anhörung der Verfahrensbeteiligten trifft, schreibt das Gesetz zwingend vor, dass die Kindesschutzbehörde den Verfahrensbeteiligten gleichzeitig Gelegenheit zur Stellungnahme gibt und anschliessend neu entscheidet (E. 2).</w:t>
      </w:r>
    </w:p>
    <w:p>
      <w:pPr>
        <w:pStyle w:val="Heading2"/>
      </w:pPr>
      <w:r>
        <w:t>Erwägungen</w:t>
      </w:r>
    </w:p>
    <w:p>
      <w:r>
        <w:rPr>
          <w:b/>
        </w:rPr>
        <w:t>E. 2</w:t>
      </w:r>
    </w:p>
    <w:p>
      <w:r>
        <w:t>Die Zulässigkeit der Beschwerde an das Bundesgericht hängt davon ab, ob eine superprovisorisch angeordnete vorsorgliche Massnahme oder eine vorsorgliche Massnahme angefochten ist.</w:t>
      </w:r>
    </w:p>
    <w:p>
      <w:r>
        <w:rPr>
          <w:b/>
        </w:rPr>
        <w:t>E. 2.1</w:t>
      </w:r>
    </w:p>
    <w:p>
      <w:r>
        <w:t>Das Kantonsgericht hat dazu festgehalten, der Entscheid der KESB sei superprovisorisch ergangen, d.h. ohne vorgängige Anhörung der am Verfahren beteiligten Personen. Diesen sei indes nachträglich gestützt auf Art. 445 Abs. 2 ZGB Gelegenheit zur Stellungnahme eingeräumt worden, wovon die Beschwerdeführerin mit Eingabe vom 11. Mai 2014 Gebrauch gemacht habe. Die BGE 140 III 529 S. 531 Beschwerdeführerin sei zudem am 12. Mai 2014 mündlich durch die KESB angehört worden. Die KESB habe in ihrer Vernehmlassung vom 3. Juni 2014 (im Beschwerdeverfahren) einlässlich dargelegt, dass und aus welchen Gründen an den angeordneten Massnahmen festgehalten werde. Die Beschwerdeführerin habe sich dazu anlässlich der Parteiverhandlung äussern können. Den Anforderungen an die nachträgliche Gewährung des rechtlichen Gehörs sei damit vollumfänglich entsprochen worden und die strittigen Anordnungen hätten unter den gegebenen Umständen als (ordentliche) vorsorgliche Massnahmen zu gelten.</w:t>
      </w:r>
    </w:p>
    <w:p>
      <w:r>
        <w:rPr>
          <w:b/>
        </w:rPr>
        <w:t>E. 2.2</w:t>
      </w:r>
    </w:p>
    <w:p>
      <w:r>
        <w:t>So geht es aus folgenden Gründen nicht:</w:t>
      </w:r>
    </w:p>
    <w:p>
      <w:r>
        <w:rPr>
          <w:b/>
        </w:rPr>
        <w:t>E. 2.2.1</w:t>
      </w:r>
    </w:p>
    <w:p>
      <w:r>
        <w:t>Mit der Marginalie "Vorsorgliche Massnahmen" bestimmt Art. 445 ZGB , dass die Erwachsenenschutzbehörde auf Antrag einer am Verfahren beteiligten Person oder von Amtes wegen alle für die Dauer des Verfahrens notwendigen vorsorglichen Massnahmen trifft (Abs. 1) und dass sie bei besonderer Dringlichkeit vorsorgliche Massnahmen sofort ohne Anhörung der am Verfahren beteiligten Personen treffen kann, diesen gleichzeitig Gelegenheit zur Stellungnahme gibt und anschliessend neu entscheidet (Abs. 2). Die Bestimmung ist im Kindesschutzverfahren sinngemäss anwendbar ( Art. 314 Abs. 1 ZGB ). Die Regelung des Verfahrens für den Erlass sog. superprovisorischer Massnahmen gemäss Art. 445 Abs. 2 ZGB entspricht Art. 265 ZPO (vgl. Botschaft vom 28. Juni 2006 zur Änderung des Schweizerischen Zivilgesetzbuches [Erwachsenenschutz, Personenrecht und Kindesrecht], BBl 2006 7001, 7077 zu Art. 445 und 7101 zu Art. 314). Allgemeine Prozessrechtsgrundsätze sind zu beachten.</w:t>
      </w:r>
    </w:p>
    <w:p>
      <w:r>
        <w:rPr>
          <w:b/>
        </w:rPr>
        <w:t>E. 2.2.2</w:t>
      </w:r>
    </w:p>
    <w:p>
      <w:r>
        <w:t>Das Kindes- und Erwachsenenschutzrecht kennt kein auf superprovisorische Massnahmen beschränktes Verfahren. Die KESB eröffnet auf Antrag einer am Verfahren beteiligten Person oder von Amtes wegen ein Verfahren, in dem sie die notwendigen vorsorglichen Massnahmen trifft ( Art. 445 Abs. 1 ZGB ). Im Rahmen dieses Verfahrens betreffend vorsorgliche Massnahmen sieht das Gesetz die Möglichkeit vor, dass die KESB bei besonderer Dringlichkeit sofort und ohne Anhörung der am Verfahren beteiligten Personen vorsorgliche Massnahmen trifft und anschliessend die Verfahrensbeteiligten anhört und entscheidet ( Art. 445 Abs. 2 ZGB ). Das Verfahren ist zwar zweistufig, aber eine Einheit. Der superprovisorischen Anordnung der vorsorglichen Massnahme wegen besonderer Dringlichkeit (Dringlichkeitsentscheid) folgt zwingend - nach Anhörung der BGE 140 III 529 S. 532 Verfahrensbeteiligten - der Entscheid über die vorsorgliche Massnahme (ordentlicher Massnahmenentscheid), der die zuvor angeordnete superprovisorische Massnahme bestätigt, ändert oder aufhebt und damit ersetzt. Nicht schon mit der nachträglichen Anhörung der Verfahrensbeteiligten ist das Verfahren auf Erlass vorsorglicher Massnahmen abgeschlossen. Nach der mündlichen Anhörung oder nach Eingang der schriftlichen Stellungnahme und nach allfälligen Beweisabnahmen (hier nach Durchführung eines Augenscheins betreffend Wohnverhältnisse der Beschwerdeführerin) trifft die nach Art. 445 Abs. 1 ZGB sachlich zuständige Behörde vielmehr den neuen Entscheid gemäss Art. 445 Abs. 2 ZGB über den Erlass einer ordentlichen vorsorglichen Massnahme, die an die Stelle der superprovisorisch angeordneten vorsorglichen Massnahme tritt (vgl. STECK, in: Erwachsenenschutz, 2013, N. 16, und AUER/MARTI, in: Basler Kommentar, Erwachsenenschutz, 2012, N. 19 a.E., je zu Art. 445 ZGB ; vgl. zu den Etappen im Verfahrensablauf gemäss Art. 265 ZPO : HOHL, Procédure civile, Bd. II, 2. Aufl. 2010, N. 1872 S. 342).</w:t>
      </w:r>
    </w:p>
    <w:p>
      <w:r>
        <w:rPr>
          <w:b/>
        </w:rPr>
        <w:t>E. 2.2.3</w:t>
      </w:r>
    </w:p>
    <w:p>
      <w:r>
        <w:t>Entgegen der Auffassung des Kantonsgerichts wird die superprovisorisch angeordnete vorsorgliche Massnahme nicht dadurch zur vorsorglichen Massnahme, dass die Verfahrensbeteiligten die superprovisorische Massnahme bei der gerichtlichen Beschwerdeinstanz anfechten und sich damit Gehör verschaffen, dass die KESB in ihrer Beschwerdeantwort erklärt, aus welchen Gründen sie an den superprovisorisch angeordneten vorsorglichen Massnahmen festhalten werde, und dass die Verfahrensbeteiligten zu diesen Gründen nochmals - hier mündlich - Stellung nehmen können. Die Anhörung muss gemäss Art. 445 Abs. 2 ZGB vielmehr durch die KESB erfolgen und findet nicht in einem Beschwerdeverfahren statt, und das Verfahren auf Erlass vorsorglicher Massnahmen ist gemäss Art. 445 Abs. 2 ZGB durch einen förmlichen Entscheid der KESB abzuschliessen und nicht im Beschwerdeverfahren informell beizulegen. Davon abgesehen, verletzt die kantonsgerichtliche Vorgehensweise die Verfahrensrechte der Beteiligten, wie sie durch die Bundesverfassung und die gesetzlichen Vorschriften über den Inhalt, die Eröffnung und die Begründung von Entscheiden geschützt werden (Art. 238 f. ZPO i.V.m. Art. 450f ZGB ; Botschaft, a.a.O., S. 7088). Namentlich ist eine mündliche Replik kein gleichwertiger Ersatz für das Recht, gegen den Entscheid über die vorsorgliche Massnahme innert zehn Tagen nach dessen Mitteilung eine Beschwerde zu erheben ( Art. 445 Abs. 3 ZGB ). BGE 140 III 529 S. 533</w:t>
      </w:r>
    </w:p>
    <w:p>
      <w:r>
        <w:rPr>
          <w:b/>
        </w:rPr>
        <w:t>E. 2.3</w:t>
      </w:r>
    </w:p>
    <w:p>
      <w:r>
        <w:t>Die KESB hat die Beschwerdeführerin zwar nach der superprovisorischen Anordnung vorsorglicher Massnahmen angehört, aber noch keinen neuen Entscheid über vorsorgliche Massnahmen getroffen, wie ihn Art. 445 Abs. 2 ZGB "anschliessend" vorschreibt. Beschwerdegegenstand war damit vor Kantonsgericht und ist folglich auch vor Bundesgericht einzig die superprovisorische Massnahme der KESB betreffend Obhutsentzug gegenüber der Beschwerdeführerin verbunden mit der Fremdplatzierung und Verbeiständung ihres wenige Monate alten Sohnes.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